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7C91" w14:textId="77777777" w:rsidR="00EA02CC" w:rsidRPr="00EA02CC" w:rsidRDefault="00EA02CC" w:rsidP="00EA02CC">
      <w:pPr>
        <w:spacing w:after="0" w:line="240" w:lineRule="auto"/>
        <w:jc w:val="center"/>
        <w:rPr>
          <w:rFonts w:ascii="Times" w:eastAsia="Times New Roman" w:hAnsi="Times" w:cs="Times New Roman"/>
          <w:b/>
          <w:sz w:val="28"/>
          <w:szCs w:val="28"/>
          <w:lang w:val="fr-CA" w:eastAsia="fr-FR"/>
        </w:rPr>
      </w:pPr>
      <w:r w:rsidRPr="00EA02CC">
        <w:rPr>
          <w:rFonts w:ascii="Times" w:eastAsia="Times New Roman" w:hAnsi="Times" w:cs="Times New Roman"/>
          <w:b/>
          <w:sz w:val="28"/>
          <w:szCs w:val="28"/>
          <w:lang w:val="fr-CA" w:eastAsia="fr-FR"/>
        </w:rPr>
        <w:t>L’affaire personne</w:t>
      </w:r>
    </w:p>
    <w:p w14:paraId="0428A457" w14:textId="77777777" w:rsidR="004931BA" w:rsidRDefault="004931BA" w:rsidP="00EA02CC">
      <w:pPr>
        <w:spacing w:after="0" w:line="240" w:lineRule="auto"/>
        <w:rPr>
          <w:rFonts w:ascii="Times" w:eastAsia="Times New Roman" w:hAnsi="Times" w:cs="Times New Roman"/>
          <w:sz w:val="24"/>
          <w:szCs w:val="24"/>
          <w:lang w:val="fr-CA" w:eastAsia="fr-FR"/>
        </w:rPr>
      </w:pPr>
    </w:p>
    <w:p w14:paraId="26355308" w14:textId="77777777" w:rsidR="00EA02CC" w:rsidRPr="00EA02CC" w:rsidRDefault="00EA02CC" w:rsidP="00EA02CC">
      <w:pPr>
        <w:spacing w:after="0" w:line="240" w:lineRule="auto"/>
        <w:rPr>
          <w:rFonts w:ascii="Times" w:eastAsia="Times New Roman" w:hAnsi="Times" w:cs="Times New Roman"/>
          <w:sz w:val="24"/>
          <w:szCs w:val="24"/>
          <w:lang w:val="fr-CA" w:eastAsia="fr-FR"/>
        </w:rPr>
      </w:pPr>
      <w:r w:rsidRPr="00EA02CC">
        <w:rPr>
          <w:rFonts w:ascii="Times" w:eastAsia="Times New Roman" w:hAnsi="Times" w:cs="Times New Roman"/>
          <w:sz w:val="24"/>
          <w:szCs w:val="24"/>
          <w:lang w:val="fr-CA" w:eastAsia="fr-FR"/>
        </w:rPr>
        <w:t>Jusqu’à la fin du 19</w:t>
      </w:r>
      <w:r w:rsidRPr="00EA02CC">
        <w:rPr>
          <w:rFonts w:ascii="Times" w:eastAsia="Times New Roman" w:hAnsi="Times" w:cs="Times New Roman"/>
          <w:sz w:val="24"/>
          <w:szCs w:val="24"/>
          <w:vertAlign w:val="superscript"/>
          <w:lang w:val="fr-CA" w:eastAsia="fr-FR"/>
        </w:rPr>
        <w:t>ième</w:t>
      </w:r>
      <w:r w:rsidRPr="00EA02CC">
        <w:rPr>
          <w:rFonts w:ascii="Times" w:eastAsia="Times New Roman" w:hAnsi="Times" w:cs="Times New Roman"/>
          <w:sz w:val="24"/>
          <w:szCs w:val="24"/>
          <w:lang w:val="fr-CA" w:eastAsia="fr-FR"/>
        </w:rPr>
        <w:t xml:space="preserve"> siècle, les femmes mariées n’avaient pas le droit de posséder de propriété. Au moment de l’affaire « personne », les femmes dans la plupart des provinces canadiennes venaient tout juste d’obtenir le droit de vote. Par exemple, les femmes du Manitoba, de la Saskatchewan, de l’Alberta et de la Colombie britannique n’ont pas obtenu le droit de vote avant 1917. Et ce n’est que deux ans plus tard qu’elles ont obtenu le droit de vote aux élections fédérales. Même si les choses changeaient, en 1927 les droits des femmes n’étaient toujours pas établis. </w:t>
      </w:r>
    </w:p>
    <w:p w14:paraId="66BF20F0" w14:textId="77777777" w:rsidR="00EA02CC" w:rsidRPr="00EA02CC" w:rsidRDefault="00EA02CC" w:rsidP="00EA02CC">
      <w:pPr>
        <w:spacing w:after="0" w:line="240" w:lineRule="auto"/>
        <w:rPr>
          <w:rFonts w:ascii="Times" w:eastAsia="Times New Roman" w:hAnsi="Times" w:cs="Times New Roman"/>
          <w:sz w:val="24"/>
          <w:szCs w:val="24"/>
          <w:lang w:val="fr-CA" w:eastAsia="fr-FR"/>
        </w:rPr>
      </w:pPr>
    </w:p>
    <w:p w14:paraId="4D5F7885" w14:textId="77777777" w:rsidR="00355616" w:rsidRDefault="00355616" w:rsidP="004931BA">
      <w:pPr>
        <w:spacing w:after="0" w:line="240" w:lineRule="auto"/>
        <w:rPr>
          <w:rFonts w:ascii="Times" w:eastAsia="Times New Roman" w:hAnsi="Times" w:cs="Times New Roman"/>
          <w:sz w:val="24"/>
          <w:szCs w:val="24"/>
          <w:lang w:val="fr-CA" w:eastAsia="fr-FR"/>
        </w:rPr>
      </w:pPr>
      <w:r>
        <w:rPr>
          <w:rFonts w:ascii="Times" w:eastAsia="Times New Roman" w:hAnsi="Times" w:cs="Times New Roman"/>
          <w:sz w:val="24"/>
          <w:szCs w:val="24"/>
          <w:lang w:val="fr-CA" w:eastAsia="fr-FR"/>
        </w:rPr>
        <w:t xml:space="preserve">En 1927, </w:t>
      </w:r>
      <w:r w:rsidR="00EA02CC" w:rsidRPr="00EA02CC">
        <w:rPr>
          <w:rFonts w:ascii="Times" w:eastAsia="Times New Roman" w:hAnsi="Times" w:cs="Times New Roman"/>
          <w:sz w:val="24"/>
          <w:szCs w:val="24"/>
          <w:lang w:val="fr-CA" w:eastAsia="fr-FR"/>
        </w:rPr>
        <w:t xml:space="preserve">cinq femmes </w:t>
      </w:r>
      <w:r>
        <w:rPr>
          <w:rFonts w:ascii="Times" w:eastAsia="Times New Roman" w:hAnsi="Times" w:cs="Times New Roman"/>
          <w:sz w:val="24"/>
          <w:szCs w:val="24"/>
          <w:lang w:val="fr-CA" w:eastAsia="fr-FR"/>
        </w:rPr>
        <w:t xml:space="preserve">de l’Alberta </w:t>
      </w:r>
      <w:r w:rsidR="00EA02CC" w:rsidRPr="00EA02CC">
        <w:rPr>
          <w:rFonts w:ascii="Times" w:eastAsia="Times New Roman" w:hAnsi="Times" w:cs="Times New Roman"/>
          <w:sz w:val="24"/>
          <w:szCs w:val="24"/>
          <w:lang w:val="fr-CA" w:eastAsia="fr-FR"/>
        </w:rPr>
        <w:t xml:space="preserve">voulaient faire progresser les choses plus rapidement. </w:t>
      </w:r>
      <w:r w:rsidR="00EA02CC" w:rsidRPr="00EA02CC">
        <w:rPr>
          <w:rFonts w:ascii="Times" w:eastAsia="Times New Roman" w:hAnsi="Times" w:cs="Times New Roman"/>
          <w:i/>
          <w:sz w:val="24"/>
          <w:szCs w:val="24"/>
          <w:lang w:val="fr-CA" w:eastAsia="fr-FR"/>
        </w:rPr>
        <w:t>Emily Murphy, Henrietta Muir Edwards, Nellie McClung, Louise McKinney et Irene Parlby</w:t>
      </w:r>
      <w:r w:rsidR="00EA02CC" w:rsidRPr="00EA02CC">
        <w:rPr>
          <w:rFonts w:ascii="Times" w:eastAsia="Times New Roman" w:hAnsi="Times" w:cs="Times New Roman"/>
          <w:sz w:val="24"/>
          <w:szCs w:val="24"/>
          <w:lang w:val="fr-CA" w:eastAsia="fr-FR"/>
        </w:rPr>
        <w:t xml:space="preserve"> ont amené leur cause à la Cour suprême du Canada. La question était de savoir si les femmes étaient comprises dans l’interprétation légale du terme</w:t>
      </w:r>
      <w:r w:rsidR="004931BA">
        <w:rPr>
          <w:rFonts w:ascii="Times" w:eastAsia="Times New Roman" w:hAnsi="Times" w:cs="Times New Roman"/>
          <w:sz w:val="24"/>
          <w:szCs w:val="24"/>
          <w:lang w:val="fr-CA" w:eastAsia="fr-FR"/>
        </w:rPr>
        <w:t xml:space="preserve"> « </w:t>
      </w:r>
      <w:r w:rsidR="004931BA" w:rsidRPr="00CF2FCC">
        <w:rPr>
          <w:rFonts w:ascii="Times" w:eastAsia="Times New Roman" w:hAnsi="Times" w:cs="Times New Roman"/>
          <w:i/>
          <w:sz w:val="24"/>
          <w:szCs w:val="24"/>
          <w:lang w:val="fr-CA" w:eastAsia="fr-FR"/>
        </w:rPr>
        <w:t>personne</w:t>
      </w:r>
      <w:r w:rsidR="004931BA" w:rsidRPr="00CF2FCC">
        <w:rPr>
          <w:rFonts w:ascii="Times" w:eastAsia="Times New Roman" w:hAnsi="Times" w:cs="Times New Roman"/>
          <w:sz w:val="24"/>
          <w:szCs w:val="24"/>
          <w:lang w:val="fr-CA" w:eastAsia="fr-FR"/>
        </w:rPr>
        <w:t> </w:t>
      </w:r>
      <w:r w:rsidR="004931BA">
        <w:rPr>
          <w:rFonts w:ascii="Times" w:eastAsia="Times New Roman" w:hAnsi="Times" w:cs="Times New Roman"/>
          <w:sz w:val="24"/>
          <w:szCs w:val="24"/>
          <w:lang w:val="fr-CA" w:eastAsia="fr-FR"/>
        </w:rPr>
        <w:t>».</w:t>
      </w:r>
      <w:r w:rsidR="00CF2FCC">
        <w:rPr>
          <w:rFonts w:ascii="Times" w:eastAsia="Times New Roman" w:hAnsi="Times" w:cs="Times New Roman"/>
          <w:sz w:val="24"/>
          <w:szCs w:val="24"/>
          <w:lang w:val="fr-CA" w:eastAsia="fr-FR"/>
        </w:rPr>
        <w:t xml:space="preserve"> </w:t>
      </w:r>
      <w:r w:rsidR="004931BA">
        <w:rPr>
          <w:rFonts w:ascii="Times" w:eastAsia="Times New Roman" w:hAnsi="Times" w:cs="Times New Roman"/>
          <w:sz w:val="24"/>
          <w:szCs w:val="24"/>
          <w:lang w:val="fr-CA" w:eastAsia="fr-FR"/>
        </w:rPr>
        <w:t xml:space="preserve">À cette époque, l’article 24 de la </w:t>
      </w:r>
      <w:r w:rsidR="004931BA" w:rsidRPr="004931BA">
        <w:rPr>
          <w:rFonts w:ascii="Times" w:eastAsia="Times New Roman" w:hAnsi="Times" w:cs="Times New Roman"/>
          <w:i/>
          <w:iCs/>
          <w:sz w:val="24"/>
          <w:szCs w:val="24"/>
          <w:lang w:eastAsia="fr-FR"/>
        </w:rPr>
        <w:t>Loi sur l’Amérique du Nord britannique</w:t>
      </w:r>
      <w:r w:rsidR="004931BA" w:rsidRPr="004931BA">
        <w:rPr>
          <w:rFonts w:ascii="Times" w:eastAsia="Times New Roman" w:hAnsi="Times" w:cs="Times New Roman"/>
          <w:sz w:val="24"/>
          <w:szCs w:val="24"/>
          <w:lang w:val="fr-CA" w:eastAsia="fr-FR"/>
        </w:rPr>
        <w:t xml:space="preserve"> </w:t>
      </w:r>
      <w:r w:rsidR="00CF2FCC">
        <w:rPr>
          <w:rFonts w:ascii="Times" w:eastAsia="Times New Roman" w:hAnsi="Times" w:cs="Times New Roman"/>
          <w:sz w:val="24"/>
          <w:szCs w:val="24"/>
          <w:lang w:val="fr-CA" w:eastAsia="fr-FR"/>
        </w:rPr>
        <w:t xml:space="preserve">de 1867, </w:t>
      </w:r>
      <w:r w:rsidR="00EA02CC" w:rsidRPr="00EA02CC">
        <w:rPr>
          <w:rFonts w:ascii="Times" w:eastAsia="Times New Roman" w:hAnsi="Times" w:cs="Times New Roman"/>
          <w:sz w:val="24"/>
          <w:szCs w:val="24"/>
          <w:lang w:val="fr-CA" w:eastAsia="fr-FR"/>
        </w:rPr>
        <w:t>stipula</w:t>
      </w:r>
      <w:r w:rsidR="00CF2FCC">
        <w:rPr>
          <w:rFonts w:ascii="Times" w:eastAsia="Times New Roman" w:hAnsi="Times" w:cs="Times New Roman"/>
          <w:sz w:val="24"/>
          <w:szCs w:val="24"/>
          <w:lang w:val="fr-CA" w:eastAsia="fr-FR"/>
        </w:rPr>
        <w:t>it que seulement «</w:t>
      </w:r>
      <w:r w:rsidR="00EA02CC" w:rsidRPr="00EA02CC">
        <w:rPr>
          <w:rFonts w:ascii="Times" w:eastAsia="Times New Roman" w:hAnsi="Times" w:cs="Times New Roman"/>
          <w:sz w:val="24"/>
          <w:szCs w:val="24"/>
          <w:lang w:val="fr-CA" w:eastAsia="fr-FR"/>
        </w:rPr>
        <w:t xml:space="preserve"> </w:t>
      </w:r>
      <w:r w:rsidR="00CF2FCC">
        <w:rPr>
          <w:rFonts w:ascii="Times" w:eastAsia="Times New Roman" w:hAnsi="Times" w:cs="Times New Roman"/>
          <w:sz w:val="24"/>
          <w:szCs w:val="24"/>
          <w:lang w:val="fr-CA" w:eastAsia="fr-FR"/>
        </w:rPr>
        <w:t xml:space="preserve">des </w:t>
      </w:r>
      <w:r w:rsidR="00CF2FCC" w:rsidRPr="00CF2FCC">
        <w:rPr>
          <w:rFonts w:ascii="Times" w:eastAsia="Times New Roman" w:hAnsi="Times" w:cs="Times New Roman"/>
          <w:sz w:val="24"/>
          <w:szCs w:val="24"/>
          <w:lang w:eastAsia="fr-FR"/>
        </w:rPr>
        <w:t>personnes ayant les qualifications voulues</w:t>
      </w:r>
      <w:r w:rsidR="00CF2FCC">
        <w:rPr>
          <w:rFonts w:ascii="Times" w:eastAsia="Times New Roman" w:hAnsi="Times" w:cs="Times New Roman"/>
          <w:sz w:val="24"/>
          <w:szCs w:val="24"/>
          <w:lang w:val="fr-CA" w:eastAsia="fr-FR"/>
        </w:rPr>
        <w:t xml:space="preserve"> </w:t>
      </w:r>
      <w:r w:rsidR="00EA02CC" w:rsidRPr="00EA02CC">
        <w:rPr>
          <w:rFonts w:ascii="Times" w:eastAsia="Times New Roman" w:hAnsi="Times" w:cs="Times New Roman"/>
          <w:sz w:val="24"/>
          <w:szCs w:val="24"/>
          <w:lang w:val="fr-CA" w:eastAsia="fr-FR"/>
        </w:rPr>
        <w:t xml:space="preserve">» pouvaient faire partie du Sénat. </w:t>
      </w:r>
    </w:p>
    <w:p w14:paraId="629F5E48" w14:textId="77777777" w:rsidR="00CF2FCC" w:rsidRDefault="00CF2FCC" w:rsidP="004931BA">
      <w:pPr>
        <w:spacing w:after="0" w:line="240" w:lineRule="auto"/>
        <w:rPr>
          <w:rFonts w:ascii="Times" w:eastAsia="Times New Roman" w:hAnsi="Times" w:cs="Times New Roman"/>
          <w:sz w:val="24"/>
          <w:szCs w:val="24"/>
          <w:lang w:val="fr-CA" w:eastAsia="fr-FR"/>
        </w:rPr>
      </w:pPr>
    </w:p>
    <w:p w14:paraId="16F0D370" w14:textId="62D34027" w:rsidR="000F0DC7" w:rsidRDefault="00EA02CC" w:rsidP="004931BA">
      <w:pPr>
        <w:spacing w:after="0" w:line="240" w:lineRule="auto"/>
        <w:rPr>
          <w:rFonts w:ascii="Times" w:eastAsia="Times New Roman" w:hAnsi="Times" w:cs="Times New Roman"/>
          <w:bCs/>
          <w:sz w:val="24"/>
          <w:szCs w:val="24"/>
          <w:lang w:eastAsia="fr-FR"/>
        </w:rPr>
      </w:pPr>
      <w:r w:rsidRPr="00EA02CC">
        <w:rPr>
          <w:rFonts w:ascii="Times" w:eastAsia="Times New Roman" w:hAnsi="Times" w:cs="Times New Roman"/>
          <w:sz w:val="24"/>
          <w:szCs w:val="24"/>
          <w:lang w:val="fr-CA" w:eastAsia="fr-FR"/>
        </w:rPr>
        <w:t xml:space="preserve">La Cour suprême du Canada avait alors décidé </w:t>
      </w:r>
      <w:r w:rsidR="00CF2FCC">
        <w:rPr>
          <w:rFonts w:ascii="Times" w:eastAsia="Times New Roman" w:hAnsi="Times" w:cs="Times New Roman"/>
          <w:sz w:val="24"/>
          <w:szCs w:val="24"/>
          <w:lang w:val="fr-CA" w:eastAsia="fr-FR"/>
        </w:rPr>
        <w:t xml:space="preserve">que le mot « </w:t>
      </w:r>
      <w:r w:rsidR="00CF2FCC" w:rsidRPr="00CF2FCC">
        <w:rPr>
          <w:rFonts w:ascii="Times" w:eastAsia="Times New Roman" w:hAnsi="Times" w:cs="Times New Roman"/>
          <w:i/>
          <w:sz w:val="24"/>
          <w:szCs w:val="24"/>
          <w:lang w:val="fr-CA" w:eastAsia="fr-FR"/>
        </w:rPr>
        <w:t>personne</w:t>
      </w:r>
      <w:r w:rsidR="00CF2FCC">
        <w:rPr>
          <w:rFonts w:ascii="Times" w:eastAsia="Times New Roman" w:hAnsi="Times" w:cs="Times New Roman"/>
          <w:sz w:val="24"/>
          <w:szCs w:val="24"/>
          <w:lang w:val="fr-CA" w:eastAsia="fr-FR"/>
        </w:rPr>
        <w:t xml:space="preserve"> » excluait les femmes. </w:t>
      </w:r>
      <w:r w:rsidRPr="00EA02CC">
        <w:rPr>
          <w:rFonts w:ascii="Times" w:eastAsia="Times New Roman" w:hAnsi="Times" w:cs="Times New Roman"/>
          <w:sz w:val="24"/>
          <w:szCs w:val="24"/>
          <w:lang w:val="fr-CA" w:eastAsia="fr-FR"/>
        </w:rPr>
        <w:t xml:space="preserve">Les </w:t>
      </w:r>
      <w:r w:rsidR="00CF2FCC">
        <w:rPr>
          <w:rFonts w:ascii="Times" w:eastAsia="Times New Roman" w:hAnsi="Times" w:cs="Times New Roman"/>
          <w:sz w:val="24"/>
          <w:szCs w:val="24"/>
          <w:lang w:val="fr-CA" w:eastAsia="fr-FR"/>
        </w:rPr>
        <w:t xml:space="preserve">« Célèbre cinq » </w:t>
      </w:r>
      <w:r w:rsidRPr="00EA02CC">
        <w:rPr>
          <w:rFonts w:ascii="Times" w:eastAsia="Times New Roman" w:hAnsi="Times" w:cs="Times New Roman"/>
          <w:sz w:val="24"/>
          <w:szCs w:val="24"/>
          <w:lang w:val="fr-CA" w:eastAsia="fr-FR"/>
        </w:rPr>
        <w:t xml:space="preserve">ont </w:t>
      </w:r>
      <w:r w:rsidR="000F0DC7">
        <w:rPr>
          <w:rFonts w:ascii="Times" w:eastAsia="Times New Roman" w:hAnsi="Times" w:cs="Times New Roman"/>
          <w:sz w:val="24"/>
          <w:szCs w:val="24"/>
          <w:lang w:val="fr-CA" w:eastAsia="fr-FR"/>
        </w:rPr>
        <w:t xml:space="preserve">alors </w:t>
      </w:r>
      <w:r w:rsidRPr="00EA02CC">
        <w:rPr>
          <w:rFonts w:ascii="Times" w:eastAsia="Times New Roman" w:hAnsi="Times" w:cs="Times New Roman"/>
          <w:sz w:val="24"/>
          <w:szCs w:val="24"/>
          <w:lang w:val="fr-CA" w:eastAsia="fr-FR"/>
        </w:rPr>
        <w:t xml:space="preserve">porté leur cause en appel au </w:t>
      </w:r>
      <w:r w:rsidR="00414C1F" w:rsidRPr="00414C1F">
        <w:rPr>
          <w:rFonts w:ascii="Times" w:eastAsia="Times New Roman" w:hAnsi="Times" w:cs="Times New Roman"/>
          <w:sz w:val="24"/>
          <w:szCs w:val="24"/>
          <w:lang w:eastAsia="fr-FR"/>
        </w:rPr>
        <w:t>Comité judiciaire du </w:t>
      </w:r>
      <w:r w:rsidR="00414C1F" w:rsidRPr="00414C1F">
        <w:rPr>
          <w:rFonts w:ascii="Times" w:eastAsia="Times New Roman" w:hAnsi="Times" w:cs="Times New Roman"/>
          <w:bCs/>
          <w:sz w:val="24"/>
          <w:szCs w:val="24"/>
          <w:lang w:eastAsia="fr-FR"/>
        </w:rPr>
        <w:t>Conseil privé</w:t>
      </w:r>
      <w:r w:rsidR="00355616">
        <w:rPr>
          <w:rFonts w:ascii="Times" w:eastAsia="Times New Roman" w:hAnsi="Times" w:cs="Times New Roman"/>
          <w:bCs/>
          <w:sz w:val="24"/>
          <w:szCs w:val="24"/>
          <w:lang w:eastAsia="fr-FR"/>
        </w:rPr>
        <w:t xml:space="preserve"> britannique, </w:t>
      </w:r>
      <w:r w:rsidR="004931BA">
        <w:rPr>
          <w:rFonts w:ascii="Times" w:eastAsia="Times New Roman" w:hAnsi="Times" w:cs="Times New Roman"/>
          <w:bCs/>
          <w:sz w:val="24"/>
          <w:szCs w:val="24"/>
          <w:lang w:eastAsia="fr-FR"/>
        </w:rPr>
        <w:t xml:space="preserve">le plus </w:t>
      </w:r>
      <w:r w:rsidR="004D45BE" w:rsidRPr="00032B72">
        <w:rPr>
          <w:rFonts w:ascii="Times" w:eastAsia="Times New Roman" w:hAnsi="Times" w:cs="Times New Roman"/>
          <w:bCs/>
          <w:sz w:val="24"/>
          <w:szCs w:val="24"/>
          <w:lang w:eastAsia="fr-FR"/>
        </w:rPr>
        <w:t>h</w:t>
      </w:r>
      <w:r w:rsidR="004931BA" w:rsidRPr="004D45BE">
        <w:rPr>
          <w:rFonts w:ascii="Times" w:eastAsia="Times New Roman" w:hAnsi="Times" w:cs="Times New Roman"/>
          <w:bCs/>
          <w:sz w:val="24"/>
          <w:szCs w:val="24"/>
          <w:lang w:eastAsia="fr-FR"/>
        </w:rPr>
        <w:t>au</w:t>
      </w:r>
      <w:r w:rsidR="004D45BE" w:rsidRPr="00032B72">
        <w:rPr>
          <w:rFonts w:ascii="Times" w:eastAsia="Times New Roman" w:hAnsi="Times" w:cs="Times New Roman"/>
          <w:bCs/>
          <w:sz w:val="24"/>
          <w:szCs w:val="24"/>
          <w:lang w:eastAsia="fr-FR"/>
        </w:rPr>
        <w:t>t</w:t>
      </w:r>
      <w:r w:rsidR="004931BA">
        <w:rPr>
          <w:rFonts w:ascii="Times" w:eastAsia="Times New Roman" w:hAnsi="Times" w:cs="Times New Roman"/>
          <w:bCs/>
          <w:sz w:val="24"/>
          <w:szCs w:val="24"/>
          <w:lang w:eastAsia="fr-FR"/>
        </w:rPr>
        <w:t xml:space="preserve"> tribunal d’appel au Canada à l’</w:t>
      </w:r>
      <w:r w:rsidR="000F0DC7">
        <w:rPr>
          <w:rFonts w:ascii="Times" w:eastAsia="Times New Roman" w:hAnsi="Times" w:cs="Times New Roman"/>
          <w:bCs/>
          <w:sz w:val="24"/>
          <w:szCs w:val="24"/>
          <w:lang w:eastAsia="fr-FR"/>
        </w:rPr>
        <w:t>époque.</w:t>
      </w:r>
    </w:p>
    <w:p w14:paraId="2FEC3D04" w14:textId="77777777" w:rsidR="000F0DC7" w:rsidRDefault="000F0DC7" w:rsidP="004931BA">
      <w:pPr>
        <w:spacing w:after="0" w:line="240" w:lineRule="auto"/>
        <w:rPr>
          <w:rFonts w:ascii="Times" w:eastAsia="Times New Roman" w:hAnsi="Times" w:cs="Times New Roman"/>
          <w:bCs/>
          <w:sz w:val="24"/>
          <w:szCs w:val="24"/>
          <w:lang w:eastAsia="fr-FR"/>
        </w:rPr>
      </w:pPr>
      <w:bookmarkStart w:id="0" w:name="_GoBack"/>
      <w:bookmarkEnd w:id="0"/>
    </w:p>
    <w:p w14:paraId="14ED8751" w14:textId="77777777" w:rsidR="000F0DC7" w:rsidRPr="000F0DC7" w:rsidRDefault="000F0DC7" w:rsidP="000F0DC7">
      <w:pPr>
        <w:spacing w:after="0" w:line="240" w:lineRule="auto"/>
        <w:rPr>
          <w:rFonts w:ascii="Times New Roman" w:hAnsi="Times New Roman" w:cs="Times New Roman"/>
          <w:sz w:val="24"/>
          <w:szCs w:val="24"/>
          <w:shd w:val="clear" w:color="auto" w:fill="FFFFFF"/>
          <w:lang w:val="fr-CA"/>
        </w:rPr>
      </w:pPr>
      <w:r w:rsidRPr="000F0DC7">
        <w:rPr>
          <w:rFonts w:ascii="Times New Roman" w:eastAsia="Times New Roman" w:hAnsi="Times New Roman" w:cs="Times New Roman"/>
          <w:sz w:val="24"/>
          <w:szCs w:val="24"/>
          <w:lang w:val="fr-CA" w:eastAsia="fr-FR"/>
        </w:rPr>
        <w:t xml:space="preserve">Le 18 octobre 1929, </w:t>
      </w:r>
      <w:r w:rsidRPr="000F0DC7">
        <w:rPr>
          <w:rFonts w:ascii="Times New Roman" w:hAnsi="Times New Roman" w:cs="Times New Roman"/>
          <w:sz w:val="24"/>
          <w:szCs w:val="24"/>
          <w:shd w:val="clear" w:color="auto" w:fill="FFFFFF"/>
        </w:rPr>
        <w:t xml:space="preserve">la décision est annoncée par Lord Sankey, grand chancelier de Grande-Bretagne, </w:t>
      </w:r>
      <w:r w:rsidRPr="000F0DC7">
        <w:rPr>
          <w:rFonts w:ascii="Times New Roman" w:hAnsi="Times New Roman" w:cs="Times New Roman"/>
          <w:sz w:val="24"/>
          <w:szCs w:val="24"/>
          <w:shd w:val="clear" w:color="auto" w:fill="FFFFFF"/>
          <w:lang w:val="fr-CA"/>
        </w:rPr>
        <w:t>en leur faveur, reconnaissant que les femmes étaient éligibles à devenir sénatrices.</w:t>
      </w:r>
      <w:r w:rsidRPr="000F0DC7">
        <w:rPr>
          <w:rFonts w:ascii="Times New Roman" w:hAnsi="Times New Roman" w:cs="Times New Roman"/>
          <w:sz w:val="24"/>
          <w:szCs w:val="24"/>
          <w:shd w:val="clear" w:color="auto" w:fill="FFFFFF"/>
        </w:rPr>
        <w:t xml:space="preserve"> </w:t>
      </w:r>
    </w:p>
    <w:p w14:paraId="776CDF20" w14:textId="77777777" w:rsidR="00414C1F" w:rsidRPr="000F0DC7" w:rsidRDefault="00EA02CC" w:rsidP="004931BA">
      <w:pPr>
        <w:spacing w:after="0" w:line="240" w:lineRule="auto"/>
        <w:rPr>
          <w:rFonts w:ascii="Times" w:eastAsia="Times New Roman" w:hAnsi="Times" w:cs="Times New Roman"/>
          <w:sz w:val="24"/>
          <w:szCs w:val="24"/>
          <w:lang w:val="fr-CA" w:eastAsia="fr-FR"/>
        </w:rPr>
      </w:pPr>
      <w:r w:rsidRPr="000F0DC7">
        <w:rPr>
          <w:rFonts w:ascii="Times" w:eastAsia="Times New Roman" w:hAnsi="Times" w:cs="Times New Roman"/>
          <w:sz w:val="24"/>
          <w:szCs w:val="24"/>
          <w:lang w:val="fr-CA" w:eastAsia="fr-FR"/>
        </w:rPr>
        <w:t>L</w:t>
      </w:r>
      <w:r w:rsidR="004931BA" w:rsidRPr="000F0DC7">
        <w:rPr>
          <w:rFonts w:ascii="Times" w:eastAsia="Times New Roman" w:hAnsi="Times" w:cs="Times New Roman"/>
          <w:sz w:val="24"/>
          <w:szCs w:val="24"/>
          <w:lang w:val="fr-CA" w:eastAsia="fr-FR"/>
        </w:rPr>
        <w:t xml:space="preserve">a décision mentionnait : </w:t>
      </w:r>
      <w:r w:rsidR="00414C1F" w:rsidRPr="000F0DC7">
        <w:rPr>
          <w:rFonts w:ascii="Times" w:eastAsia="Times New Roman" w:hAnsi="Times" w:cs="Times New Roman"/>
          <w:sz w:val="24"/>
          <w:szCs w:val="24"/>
          <w:lang w:eastAsia="fr-FR"/>
        </w:rPr>
        <w:t>« </w:t>
      </w:r>
      <w:r w:rsidR="00414C1F" w:rsidRPr="000F0DC7">
        <w:rPr>
          <w:rFonts w:ascii="Times" w:eastAsia="Times New Roman" w:hAnsi="Times" w:cs="Times New Roman"/>
          <w:i/>
          <w:sz w:val="24"/>
          <w:szCs w:val="24"/>
          <w:lang w:eastAsia="fr-FR"/>
        </w:rPr>
        <w:t>L’exclusion des femmes de toute charge publique est un vestige d’une époque plus barbare. Aux person</w:t>
      </w:r>
      <w:r w:rsidR="000F0DC7">
        <w:rPr>
          <w:rFonts w:ascii="Times" w:eastAsia="Times New Roman" w:hAnsi="Times" w:cs="Times New Roman"/>
          <w:i/>
          <w:sz w:val="24"/>
          <w:szCs w:val="24"/>
          <w:lang w:eastAsia="fr-FR"/>
        </w:rPr>
        <w:t>nes qui se demandent si le mot « personne »</w:t>
      </w:r>
      <w:r w:rsidR="00414C1F" w:rsidRPr="000F0DC7">
        <w:rPr>
          <w:rFonts w:ascii="Times" w:eastAsia="Times New Roman" w:hAnsi="Times" w:cs="Times New Roman"/>
          <w:i/>
          <w:sz w:val="24"/>
          <w:szCs w:val="24"/>
          <w:lang w:eastAsia="fr-FR"/>
        </w:rPr>
        <w:t xml:space="preserve"> doit comprendre les femmes, la réponse est évidente, pourquoi pas?</w:t>
      </w:r>
      <w:r w:rsidR="00414C1F" w:rsidRPr="000F0DC7">
        <w:rPr>
          <w:rFonts w:ascii="Times" w:eastAsia="Times New Roman" w:hAnsi="Times" w:cs="Times New Roman"/>
          <w:sz w:val="24"/>
          <w:szCs w:val="24"/>
          <w:lang w:eastAsia="fr-FR"/>
        </w:rPr>
        <w:t> »</w:t>
      </w:r>
    </w:p>
    <w:p w14:paraId="26B8D160" w14:textId="77777777" w:rsidR="000F0DC7" w:rsidRPr="000F0DC7" w:rsidRDefault="000F0DC7" w:rsidP="000F0DC7">
      <w:pPr>
        <w:rPr>
          <w:lang w:val="fr-CA"/>
        </w:rPr>
      </w:pPr>
    </w:p>
    <w:p w14:paraId="1B45285E" w14:textId="77777777" w:rsidR="000F0DC7" w:rsidRDefault="00703B8D" w:rsidP="000F0DC7">
      <w:pPr>
        <w:rPr>
          <w:rFonts w:ascii="Times New Roman" w:hAnsi="Times New Roman" w:cs="Times New Roman"/>
          <w:sz w:val="24"/>
          <w:szCs w:val="24"/>
        </w:rPr>
      </w:pPr>
      <w:r>
        <w:rPr>
          <w:rFonts w:ascii="Times New Roman" w:hAnsi="Times New Roman" w:cs="Times New Roman"/>
          <w:sz w:val="24"/>
          <w:szCs w:val="24"/>
          <w:lang w:val="fr-CA"/>
        </w:rPr>
        <w:t>Besoin d’information juridique? V</w:t>
      </w:r>
      <w:r w:rsidR="000F0DC7" w:rsidRPr="000F0DC7">
        <w:rPr>
          <w:rFonts w:ascii="Times New Roman" w:hAnsi="Times New Roman" w:cs="Times New Roman"/>
          <w:sz w:val="24"/>
          <w:szCs w:val="24"/>
          <w:lang w:val="fr-CA"/>
        </w:rPr>
        <w:t xml:space="preserve">isitez le site </w:t>
      </w:r>
      <w:hyperlink r:id="rId4" w:history="1">
        <w:r w:rsidR="000F0DC7" w:rsidRPr="000F0DC7">
          <w:rPr>
            <w:rStyle w:val="Lienhypertexte"/>
            <w:rFonts w:ascii="Times New Roman" w:hAnsi="Times New Roman" w:cs="Times New Roman"/>
            <w:sz w:val="24"/>
            <w:szCs w:val="24"/>
            <w:lang w:val="fr-CA"/>
          </w:rPr>
          <w:t>saskinfojustice.ca</w:t>
        </w:r>
      </w:hyperlink>
      <w:r w:rsidR="000F0DC7" w:rsidRPr="000F0DC7">
        <w:rPr>
          <w:rFonts w:ascii="Times New Roman" w:hAnsi="Times New Roman" w:cs="Times New Roman"/>
          <w:sz w:val="24"/>
          <w:szCs w:val="24"/>
          <w:lang w:val="fr-CA"/>
        </w:rPr>
        <w:t xml:space="preserve"> o</w:t>
      </w:r>
      <w:r w:rsidR="000F0DC7" w:rsidRPr="000F0DC7">
        <w:rPr>
          <w:rFonts w:ascii="Times New Roman" w:hAnsi="Times New Roman" w:cs="Times New Roman"/>
          <w:sz w:val="24"/>
          <w:szCs w:val="24"/>
        </w:rPr>
        <w:t xml:space="preserve">u contactez-nous :                            1 855-924-8543 / </w:t>
      </w:r>
      <w:hyperlink r:id="rId5" w:history="1">
        <w:r w:rsidR="000F0DC7" w:rsidRPr="001B364C">
          <w:rPr>
            <w:rStyle w:val="Lienhypertexte"/>
            <w:rFonts w:ascii="Times New Roman" w:hAnsi="Times New Roman" w:cs="Times New Roman"/>
            <w:sz w:val="24"/>
            <w:szCs w:val="24"/>
          </w:rPr>
          <w:t>centre@saskinfojustice.ca</w:t>
        </w:r>
      </w:hyperlink>
    </w:p>
    <w:p w14:paraId="472A657B" w14:textId="77777777" w:rsidR="000F0DC7" w:rsidRPr="000F0DC7" w:rsidRDefault="000F0DC7" w:rsidP="000F0DC7">
      <w:pPr>
        <w:rPr>
          <w:rFonts w:ascii="Times New Roman" w:hAnsi="Times New Roman" w:cs="Times New Roman"/>
          <w:sz w:val="24"/>
          <w:szCs w:val="24"/>
          <w:lang w:val="fr-CA"/>
        </w:rPr>
      </w:pPr>
      <w:r w:rsidRPr="000F0DC7">
        <w:rPr>
          <w:rFonts w:ascii="Times New Roman" w:hAnsi="Times New Roman" w:cs="Times New Roman"/>
          <w:sz w:val="24"/>
          <w:szCs w:val="24"/>
        </w:rPr>
        <w:t xml:space="preserve"> </w:t>
      </w:r>
    </w:p>
    <w:p w14:paraId="4083F687" w14:textId="77777777" w:rsidR="00D1707A" w:rsidRPr="000F0DC7" w:rsidRDefault="00D1707A" w:rsidP="00EA02CC">
      <w:pPr>
        <w:rPr>
          <w:lang w:val="fr-CA"/>
        </w:rPr>
      </w:pPr>
    </w:p>
    <w:sectPr w:rsidR="00D1707A" w:rsidRPr="000F0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CC"/>
    <w:rsid w:val="00032B72"/>
    <w:rsid w:val="000F0DC7"/>
    <w:rsid w:val="001306CA"/>
    <w:rsid w:val="00355616"/>
    <w:rsid w:val="00414C1F"/>
    <w:rsid w:val="004931BA"/>
    <w:rsid w:val="004D45BE"/>
    <w:rsid w:val="00703B8D"/>
    <w:rsid w:val="00CF2FCC"/>
    <w:rsid w:val="00D1707A"/>
    <w:rsid w:val="00EA0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D974"/>
  <w15:chartTrackingRefBased/>
  <w15:docId w15:val="{E082BFD7-2D21-466D-928D-076E9551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3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1BA"/>
    <w:rPr>
      <w:rFonts w:ascii="Segoe UI" w:hAnsi="Segoe UI" w:cs="Segoe UI"/>
      <w:sz w:val="18"/>
      <w:szCs w:val="18"/>
    </w:rPr>
  </w:style>
  <w:style w:type="character" w:styleId="Lienhypertexte">
    <w:name w:val="Hyperlink"/>
    <w:basedOn w:val="Policepardfaut"/>
    <w:uiPriority w:val="99"/>
    <w:unhideWhenUsed/>
    <w:rsid w:val="000F0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Agent Développement</cp:lastModifiedBy>
  <cp:revision>2</cp:revision>
  <cp:lastPrinted>2019-12-05T21:23:00Z</cp:lastPrinted>
  <dcterms:created xsi:type="dcterms:W3CDTF">2020-03-09T18:05:00Z</dcterms:created>
  <dcterms:modified xsi:type="dcterms:W3CDTF">2020-03-09T18:05:00Z</dcterms:modified>
</cp:coreProperties>
</file>